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B01A" w14:textId="038D693C" w:rsidR="00995BD8" w:rsidRPr="00C13A69" w:rsidRDefault="00995BD8" w:rsidP="00C13A69">
      <w:pPr>
        <w:rPr>
          <w:rFonts w:ascii="Montserrat" w:hAnsi="Montserrat"/>
          <w:sz w:val="18"/>
          <w:szCs w:val="18"/>
        </w:rPr>
      </w:pPr>
    </w:p>
    <w:p w14:paraId="711967A6" w14:textId="77777777" w:rsidR="00C13A69" w:rsidRPr="00C13A69" w:rsidRDefault="00C13A69" w:rsidP="00C13A69">
      <w:pPr>
        <w:widowControl w:val="0"/>
        <w:autoSpaceDE w:val="0"/>
        <w:autoSpaceDN w:val="0"/>
        <w:jc w:val="both"/>
        <w:rPr>
          <w:rFonts w:ascii="Montserrat" w:hAnsi="Montserrat"/>
          <w:b/>
        </w:rPr>
      </w:pPr>
      <w:r w:rsidRPr="00C13A69">
        <w:rPr>
          <w:rFonts w:ascii="Montserrat" w:hAnsi="Montserrat"/>
          <w:b/>
        </w:rPr>
        <w:t>Los mecanismos para la captación de quejas y denuncias, así como los medios institucionales para la atención e investigación de aquéllas relacionadas con la ejecución y aplicación de los programas federales</w:t>
      </w:r>
    </w:p>
    <w:p w14:paraId="76AA4549" w14:textId="77777777" w:rsidR="00C13A69" w:rsidRPr="009113A7" w:rsidRDefault="00C13A69" w:rsidP="00C13A69">
      <w:pPr>
        <w:pStyle w:val="Prrafodelista"/>
        <w:ind w:left="1080"/>
        <w:jc w:val="both"/>
        <w:rPr>
          <w:rFonts w:ascii="Montserrat" w:hAnsi="Montserrat"/>
          <w:b/>
        </w:rPr>
      </w:pPr>
    </w:p>
    <w:p w14:paraId="7D30F6A1" w14:textId="77777777" w:rsidR="00C13A69" w:rsidRPr="009113A7" w:rsidRDefault="00C13A69" w:rsidP="00C13A69">
      <w:pPr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 xml:space="preserve">Procedente de las acciones de vigilancia y en caso de encontrarse irregularidades podrán presentarse quejas o denuncias a través de los siguientes mecanismos: </w:t>
      </w:r>
    </w:p>
    <w:p w14:paraId="5A727B18" w14:textId="77777777" w:rsidR="00C13A69" w:rsidRPr="009113A7" w:rsidRDefault="00C13A69" w:rsidP="00C13A69">
      <w:pPr>
        <w:jc w:val="both"/>
        <w:rPr>
          <w:rFonts w:ascii="Montserrat" w:hAnsi="Montserrat"/>
          <w:sz w:val="20"/>
          <w:szCs w:val="20"/>
        </w:rPr>
      </w:pPr>
    </w:p>
    <w:p w14:paraId="74E92441" w14:textId="77777777" w:rsidR="00C13A69" w:rsidRPr="009113A7" w:rsidRDefault="00C13A69" w:rsidP="00C13A69">
      <w:pPr>
        <w:widowControl w:val="0"/>
        <w:numPr>
          <w:ilvl w:val="0"/>
          <w:numId w:val="6"/>
        </w:numPr>
        <w:autoSpaceDE w:val="0"/>
        <w:autoSpaceDN w:val="0"/>
        <w:spacing w:before="10"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>Denuncia Ciudadana de la Corrupción (SIDEC): https//sidec.funcionpublica.gob.mx/#!</w:t>
      </w:r>
    </w:p>
    <w:p w14:paraId="2F20B7F7" w14:textId="77777777" w:rsidR="00C13A69" w:rsidRPr="009113A7" w:rsidRDefault="00C13A69" w:rsidP="00C13A69">
      <w:pPr>
        <w:widowControl w:val="0"/>
        <w:numPr>
          <w:ilvl w:val="0"/>
          <w:numId w:val="6"/>
        </w:numPr>
        <w:autoSpaceDE w:val="0"/>
        <w:autoSpaceDN w:val="0"/>
        <w:spacing w:before="10"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 xml:space="preserve">Vía correspondencia: Dirección General de Denuncias e Investigaciones de la Secretaría de la Función Pública en Av. Insurgentes Sur No. 1735, Piso 2 Ala Norte, Guadalupe </w:t>
      </w:r>
      <w:proofErr w:type="spellStart"/>
      <w:r w:rsidRPr="009113A7">
        <w:rPr>
          <w:rFonts w:ascii="Montserrat" w:hAnsi="Montserrat"/>
          <w:sz w:val="20"/>
          <w:szCs w:val="20"/>
        </w:rPr>
        <w:t>Inn</w:t>
      </w:r>
      <w:proofErr w:type="spellEnd"/>
      <w:r w:rsidRPr="009113A7">
        <w:rPr>
          <w:rFonts w:ascii="Montserrat" w:hAnsi="Montserrat"/>
          <w:sz w:val="20"/>
          <w:szCs w:val="20"/>
        </w:rPr>
        <w:t>, Álvaro Obregón, CP 01020, Ciudad de México.</w:t>
      </w:r>
    </w:p>
    <w:p w14:paraId="153E5D5E" w14:textId="77777777" w:rsidR="00C13A69" w:rsidRPr="009113A7" w:rsidRDefault="00C13A69" w:rsidP="00C13A69">
      <w:pPr>
        <w:widowControl w:val="0"/>
        <w:numPr>
          <w:ilvl w:val="0"/>
          <w:numId w:val="6"/>
        </w:numPr>
        <w:autoSpaceDE w:val="0"/>
        <w:autoSpaceDN w:val="0"/>
        <w:spacing w:before="10"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>Vía telefónica: En el interior de la República al 800 11 28 700 y en la Ciudad de México 55 2000 2000.</w:t>
      </w:r>
    </w:p>
    <w:p w14:paraId="1490A270" w14:textId="77777777" w:rsidR="00C13A69" w:rsidRPr="009113A7" w:rsidRDefault="00C13A69" w:rsidP="00C13A69">
      <w:pPr>
        <w:widowControl w:val="0"/>
        <w:numPr>
          <w:ilvl w:val="0"/>
          <w:numId w:val="6"/>
        </w:numPr>
        <w:autoSpaceDE w:val="0"/>
        <w:autoSpaceDN w:val="0"/>
        <w:spacing w:before="10"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 xml:space="preserve">Presencial: En el módulo 3 de la SFP en Av. Insurgentes Sur No. 1735, PB, Guadalupe </w:t>
      </w:r>
      <w:proofErr w:type="spellStart"/>
      <w:r w:rsidRPr="009113A7">
        <w:rPr>
          <w:rFonts w:ascii="Montserrat" w:hAnsi="Montserrat"/>
          <w:sz w:val="20"/>
          <w:szCs w:val="20"/>
        </w:rPr>
        <w:t>Inn</w:t>
      </w:r>
      <w:proofErr w:type="spellEnd"/>
      <w:r w:rsidRPr="009113A7">
        <w:rPr>
          <w:rFonts w:ascii="Montserrat" w:hAnsi="Montserrat"/>
          <w:sz w:val="20"/>
          <w:szCs w:val="20"/>
        </w:rPr>
        <w:t>, Álvaro Obregón, CP 01020, Ciudad de México.</w:t>
      </w:r>
    </w:p>
    <w:p w14:paraId="0BB45A83" w14:textId="77777777" w:rsidR="00C13A69" w:rsidRPr="009113A7" w:rsidRDefault="00C13A69" w:rsidP="00C13A69">
      <w:pPr>
        <w:widowControl w:val="0"/>
        <w:numPr>
          <w:ilvl w:val="0"/>
          <w:numId w:val="6"/>
        </w:numPr>
        <w:autoSpaceDE w:val="0"/>
        <w:autoSpaceDN w:val="0"/>
        <w:spacing w:before="10"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>Aplicación (App) “Denuncia Ciudadana de la Corrupción”</w:t>
      </w:r>
    </w:p>
    <w:p w14:paraId="2101136E" w14:textId="77777777" w:rsidR="00C13A69" w:rsidRPr="006E3432" w:rsidRDefault="00C13A69" w:rsidP="00C13A69">
      <w:pPr>
        <w:numPr>
          <w:ilvl w:val="0"/>
          <w:numId w:val="6"/>
        </w:numPr>
        <w:contextualSpacing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 xml:space="preserve">Vía correo electrónico: </w:t>
      </w:r>
      <w:hyperlink r:id="rId8" w:history="1">
        <w:r w:rsidRPr="009113A7">
          <w:rPr>
            <w:rFonts w:ascii="Montserrat" w:hAnsi="Montserrat"/>
            <w:sz w:val="20"/>
            <w:szCs w:val="20"/>
          </w:rPr>
          <w:t>contraloriasocial@funcionpublica.gob.mx</w:t>
        </w:r>
      </w:hyperlink>
      <w:r>
        <w:rPr>
          <w:rFonts w:ascii="Montserrat" w:hAnsi="Montserrat"/>
          <w:sz w:val="20"/>
          <w:szCs w:val="20"/>
        </w:rPr>
        <w:t xml:space="preserve"> </w:t>
      </w:r>
      <w:r w:rsidRPr="006E3432">
        <w:rPr>
          <w:rFonts w:ascii="Montserrat" w:hAnsi="Montserrat"/>
          <w:sz w:val="20"/>
          <w:szCs w:val="20"/>
        </w:rPr>
        <w:t xml:space="preserve">(dicho correo es para los temas relacionados de Contraloría Social, es decir, para atender dudas y comentarios relacionados a lo de contraloría Social) </w:t>
      </w:r>
    </w:p>
    <w:p w14:paraId="41533382" w14:textId="77777777" w:rsidR="00C13A69" w:rsidRPr="009113A7" w:rsidRDefault="00C13A69" w:rsidP="00C13A69">
      <w:pPr>
        <w:numPr>
          <w:ilvl w:val="0"/>
          <w:numId w:val="6"/>
        </w:numPr>
        <w:contextualSpacing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 xml:space="preserve">Plataforma: Ciudadanos Alertadores Internos y Externos de la Corrupción. La plataforma de alertadores está diseñada para atender casos graves de corrupción y/o en los que se requiere confidencialidad: </w:t>
      </w:r>
      <w:hyperlink r:id="rId9" w:history="1">
        <w:r w:rsidRPr="009113A7">
          <w:rPr>
            <w:rFonts w:ascii="Montserrat" w:hAnsi="Montserrat"/>
            <w:sz w:val="20"/>
            <w:szCs w:val="20"/>
          </w:rPr>
          <w:t>https://alertadores.funcionpublica.gob.mx</w:t>
        </w:r>
      </w:hyperlink>
      <w:r w:rsidRPr="009113A7">
        <w:rPr>
          <w:rFonts w:ascii="Montserrat" w:hAnsi="Montserrat"/>
          <w:sz w:val="20"/>
          <w:szCs w:val="20"/>
        </w:rPr>
        <w:t xml:space="preserve">. </w:t>
      </w:r>
    </w:p>
    <w:p w14:paraId="2FEBE62F" w14:textId="77777777" w:rsidR="00C13A69" w:rsidRPr="009113A7" w:rsidRDefault="00C13A69" w:rsidP="00C13A69">
      <w:pPr>
        <w:pStyle w:val="Prrafodelista"/>
        <w:numPr>
          <w:ilvl w:val="0"/>
          <w:numId w:val="7"/>
        </w:numPr>
        <w:tabs>
          <w:tab w:val="left" w:pos="720"/>
        </w:tabs>
        <w:ind w:left="709" w:right="51" w:hanging="283"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 xml:space="preserve">Datos del Órgano Interno de Control: Av. Universidad 1074, Col. Xoco, C.P. 03330, Alcaldía Benito Juárez, Ciudad de México, en un horario 9:00 a 15:00 y de 16:00 a 18:00 horas, de lunes a viernes. De igual forma puede ingresar su escrito en Oficialía de Partes Común, localizada en el referido domicilio de 9:00 a 15:00 horas o enviarla a través del correo electrónico: </w:t>
      </w:r>
      <w:hyperlink r:id="rId10">
        <w:r w:rsidRPr="009113A7">
          <w:rPr>
            <w:rFonts w:ascii="Montserrat" w:hAnsi="Montserrat"/>
            <w:sz w:val="20"/>
            <w:szCs w:val="20"/>
          </w:rPr>
          <w:t>quejas@sep.gob.mx</w:t>
        </w:r>
      </w:hyperlink>
    </w:p>
    <w:p w14:paraId="07EA5864" w14:textId="77777777" w:rsidR="00C13A69" w:rsidRPr="009113A7" w:rsidRDefault="00C13A69" w:rsidP="00C13A69">
      <w:pPr>
        <w:pStyle w:val="Prrafodelista"/>
        <w:numPr>
          <w:ilvl w:val="0"/>
          <w:numId w:val="7"/>
        </w:numPr>
        <w:tabs>
          <w:tab w:val="left" w:pos="720"/>
        </w:tabs>
        <w:ind w:left="709" w:right="51" w:hanging="283"/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>Mecanismos de la dependencia:</w:t>
      </w:r>
      <w:hyperlink r:id="rId11" w:history="1"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h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tt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p</w:t>
        </w:r>
        <w:r w:rsidRPr="009113A7">
          <w:rPr>
            <w:rStyle w:val="Hipervnculo"/>
            <w:rFonts w:ascii="Montserrat" w:eastAsia="Arial" w:hAnsi="Montserrat" w:cs="Arial"/>
            <w:spacing w:val="-2"/>
            <w:position w:val="-1"/>
            <w:sz w:val="20"/>
            <w:szCs w:val="20"/>
          </w:rPr>
          <w:t>: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//</w:t>
        </w:r>
        <w:r w:rsidRPr="009113A7">
          <w:rPr>
            <w:rStyle w:val="Hipervnculo"/>
            <w:rFonts w:ascii="Montserrat" w:eastAsia="Arial" w:hAnsi="Montserrat" w:cs="Arial"/>
            <w:spacing w:val="-3"/>
            <w:position w:val="-1"/>
            <w:sz w:val="20"/>
            <w:szCs w:val="20"/>
          </w:rPr>
          <w:t>w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w</w:t>
        </w:r>
        <w:r w:rsidRPr="009113A7">
          <w:rPr>
            <w:rStyle w:val="Hipervnculo"/>
            <w:rFonts w:ascii="Montserrat" w:eastAsia="Arial" w:hAnsi="Montserrat" w:cs="Arial"/>
            <w:spacing w:val="-3"/>
            <w:position w:val="-1"/>
            <w:sz w:val="20"/>
            <w:szCs w:val="20"/>
          </w:rPr>
          <w:t>w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.</w:t>
        </w:r>
        <w:r w:rsidRPr="009113A7">
          <w:rPr>
            <w:rStyle w:val="Hipervnculo"/>
            <w:rFonts w:ascii="Montserrat" w:eastAsia="Arial" w:hAnsi="Montserrat" w:cs="Arial"/>
            <w:spacing w:val="1"/>
            <w:position w:val="-1"/>
            <w:sz w:val="20"/>
            <w:szCs w:val="20"/>
          </w:rPr>
          <w:t>o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i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c.s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ep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.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gob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.</w:t>
        </w:r>
        <w:r w:rsidRPr="009113A7">
          <w:rPr>
            <w:rStyle w:val="Hipervnculo"/>
            <w:rFonts w:ascii="Montserrat" w:eastAsia="Arial" w:hAnsi="Montserrat" w:cs="Arial"/>
            <w:spacing w:val="5"/>
            <w:position w:val="-1"/>
            <w:sz w:val="20"/>
            <w:szCs w:val="20"/>
          </w:rPr>
          <w:t>m</w:t>
        </w:r>
        <w:r w:rsidRPr="009113A7">
          <w:rPr>
            <w:rStyle w:val="Hipervnculo"/>
            <w:rFonts w:ascii="Montserrat" w:eastAsia="Arial" w:hAnsi="Montserrat" w:cs="Arial"/>
            <w:spacing w:val="-2"/>
            <w:position w:val="-1"/>
            <w:sz w:val="20"/>
            <w:szCs w:val="20"/>
          </w:rPr>
          <w:t>x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/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po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r</w:t>
        </w:r>
        <w:r w:rsidRPr="009113A7">
          <w:rPr>
            <w:rStyle w:val="Hipervnculo"/>
            <w:rFonts w:ascii="Montserrat" w:eastAsia="Arial" w:hAnsi="Montserrat" w:cs="Arial"/>
            <w:spacing w:val="1"/>
            <w:position w:val="-1"/>
            <w:sz w:val="20"/>
            <w:szCs w:val="20"/>
          </w:rPr>
          <w:t>t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al3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/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que</w:t>
        </w:r>
        <w:r w:rsidRPr="009113A7">
          <w:rPr>
            <w:rStyle w:val="Hipervnculo"/>
            <w:rFonts w:ascii="Montserrat" w:eastAsia="Arial" w:hAnsi="Montserrat" w:cs="Arial"/>
            <w:spacing w:val="1"/>
            <w:position w:val="-1"/>
            <w:sz w:val="20"/>
            <w:szCs w:val="20"/>
          </w:rPr>
          <w:t>j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a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s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2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.</w:t>
        </w:r>
        <w:r w:rsidRPr="009113A7">
          <w:rPr>
            <w:rStyle w:val="Hipervnculo"/>
            <w:rFonts w:ascii="Montserrat" w:eastAsia="Arial" w:hAnsi="Montserrat" w:cs="Arial"/>
            <w:spacing w:val="-1"/>
            <w:position w:val="-1"/>
            <w:sz w:val="20"/>
            <w:szCs w:val="20"/>
          </w:rPr>
          <w:t>ph</w:t>
        </w:r>
        <w:r w:rsidRPr="009113A7">
          <w:rPr>
            <w:rStyle w:val="Hipervnculo"/>
            <w:rFonts w:ascii="Montserrat" w:eastAsia="Arial" w:hAnsi="Montserrat" w:cs="Arial"/>
            <w:position w:val="-1"/>
            <w:sz w:val="20"/>
            <w:szCs w:val="20"/>
          </w:rPr>
          <w:t>p</w:t>
        </w:r>
      </w:hyperlink>
    </w:p>
    <w:p w14:paraId="444DBA76" w14:textId="77777777" w:rsidR="00C13A69" w:rsidRPr="009113A7" w:rsidRDefault="00C13A69" w:rsidP="00C13A69">
      <w:pPr>
        <w:jc w:val="both"/>
        <w:rPr>
          <w:rFonts w:ascii="Montserrat" w:hAnsi="Montserrat"/>
          <w:sz w:val="20"/>
          <w:szCs w:val="20"/>
        </w:rPr>
      </w:pPr>
      <w:r w:rsidRPr="009113A7">
        <w:rPr>
          <w:rFonts w:ascii="Montserrat" w:hAnsi="Montserrat"/>
          <w:sz w:val="20"/>
          <w:szCs w:val="20"/>
        </w:rPr>
        <w:t xml:space="preserve">La Instancia Normativa y la Instancia Ejecutora darán a conocer los mecanismos de captación y atención de quejas y denuncias y orientarán en su presentación. </w:t>
      </w:r>
    </w:p>
    <w:p w14:paraId="1F96C577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sectPr w:rsidR="00995BD8" w:rsidSect="00FD5A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250F" w14:textId="77777777" w:rsidR="0099359B" w:rsidRDefault="0099359B">
      <w:r>
        <w:separator/>
      </w:r>
    </w:p>
  </w:endnote>
  <w:endnote w:type="continuationSeparator" w:id="0">
    <w:p w14:paraId="5B04D6A7" w14:textId="77777777" w:rsidR="0099359B" w:rsidRDefault="0099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20DF" w14:textId="77777777" w:rsidR="0099359B" w:rsidRDefault="0099359B">
      <w:r>
        <w:separator/>
      </w:r>
    </w:p>
  </w:footnote>
  <w:footnote w:type="continuationSeparator" w:id="0">
    <w:p w14:paraId="66A87A4E" w14:textId="77777777" w:rsidR="0099359B" w:rsidRDefault="0099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9359B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B25"/>
    <w:multiLevelType w:val="hybridMultilevel"/>
    <w:tmpl w:val="32C0675E"/>
    <w:lvl w:ilvl="0" w:tplc="1D84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1F70"/>
    <w:multiLevelType w:val="hybridMultilevel"/>
    <w:tmpl w:val="5B4E47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40241"/>
    <w:multiLevelType w:val="hybridMultilevel"/>
    <w:tmpl w:val="5A5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299"/>
    <w:rsid w:val="009767F0"/>
    <w:rsid w:val="00980BC2"/>
    <w:rsid w:val="00981EE1"/>
    <w:rsid w:val="009837AB"/>
    <w:rsid w:val="009873EC"/>
    <w:rsid w:val="009916C6"/>
    <w:rsid w:val="0099359B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3A69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loriasocial@funcionpublica.gob.m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ic.sep.gob.mx/portal3/quejas2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quejas@sep.gob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lertadores.funcionpublica.gob.m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2271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3</cp:revision>
  <cp:lastPrinted>2021-01-05T17:40:00Z</cp:lastPrinted>
  <dcterms:created xsi:type="dcterms:W3CDTF">2022-01-08T04:19:00Z</dcterms:created>
  <dcterms:modified xsi:type="dcterms:W3CDTF">2022-05-18T17:08:00Z</dcterms:modified>
</cp:coreProperties>
</file>